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8324B"/>
          <w:sz w:val="50"/>
        </w:rPr>
        <w:t>30-DAY RETAIL SALES ONBOARDING PLAN</w:t>
      </w:r>
    </w:p>
    <w:p>
      <w:pPr>
        <w:jc w:val="center"/>
      </w:pPr>
      <w:r>
        <w:rPr>
          <w:i/>
          <w:color w:val="1D8A8A"/>
          <w:sz w:val="22"/>
        </w:rPr>
        <w:t>A structured ramp-up framework | Portfolio demonstration</w:t>
      </w:r>
    </w:p>
    <w:p/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rPr>
                <w:b/>
                <w:color w:val="18324B"/>
              </w:rPr>
              <w:t>PORTFOLIO DEMONSTRATION — This is a sample onboarding framework, not a client implementation or a claim of measured productivity improvement.</w:t>
            </w:r>
          </w:p>
        </w:tc>
      </w:tr>
    </w:tbl>
    <w:p/>
    <w:p>
      <w:pPr>
        <w:pStyle w:val="Heading1"/>
      </w:pPr>
      <w:r>
        <w:t>Objective</w:t>
      </w:r>
    </w:p>
    <w:p>
      <w:r>
        <w:t>Give a new retail sales associate a clear, supported path from orientation to supervised customer conversations and a first-month development review. Managers should adapt checkpoints to the store format, product complexity, compliance requirements and the employee’s experience.</w:t>
      </w:r>
    </w:p>
    <w:p>
      <w:pPr>
        <w:pStyle w:val="Heading2"/>
      </w:pPr>
      <w:r>
        <w:t>Operating principles</w:t>
      </w:r>
    </w:p>
    <w:p>
      <w:pPr>
        <w:pStyle w:val="ListBullet"/>
      </w:pPr>
      <w:r>
        <w:t>Teach, demonstrate, practise, observe, then coach.</w:t>
      </w:r>
    </w:p>
    <w:p>
      <w:pPr>
        <w:pStyle w:val="ListBullet"/>
      </w:pPr>
      <w:r>
        <w:t>Prioritise customer safety, accurate information and policy compliance over speed.</w:t>
      </w:r>
    </w:p>
    <w:p>
      <w:pPr>
        <w:pStyle w:val="ListBullet"/>
      </w:pPr>
      <w:r>
        <w:t>Use short daily check-ins and weekly documented reviews.</w:t>
      </w:r>
    </w:p>
    <w:p>
      <w:pPr>
        <w:pStyle w:val="ListBullet"/>
      </w:pPr>
      <w:r>
        <w:t>Define proficiency by observable behaviours, not attendance alone.</w:t>
      </w:r>
    </w:p>
    <w:p>
      <w:pPr>
        <w:pStyle w:val="Heading1"/>
      </w:pPr>
      <w:r>
        <w:t>30-day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t>Phase</w:t>
            </w:r>
          </w:p>
        </w:tc>
        <w:tc>
          <w:tcPr>
            <w:tcW w:type="dxa" w:w="1987"/>
          </w:tcPr>
          <w:p>
            <w:r>
              <w:t>Focus</w:t>
            </w:r>
          </w:p>
        </w:tc>
        <w:tc>
          <w:tcPr>
            <w:tcW w:type="dxa" w:w="1987"/>
          </w:tcPr>
          <w:p>
            <w:r>
              <w:t>Learning activities</w:t>
            </w:r>
          </w:p>
        </w:tc>
        <w:tc>
          <w:tcPr>
            <w:tcW w:type="dxa" w:w="1987"/>
          </w:tcPr>
          <w:p>
            <w:r>
              <w:t>Evidence of progress</w:t>
            </w:r>
          </w:p>
        </w:tc>
        <w:tc>
          <w:tcPr>
            <w:tcW w:type="dxa" w:w="1987"/>
          </w:tcPr>
          <w:p>
            <w:r>
              <w:t>Manager checkpoint</w:t>
            </w:r>
          </w:p>
        </w:tc>
      </w:tr>
      <w:tr>
        <w:tc>
          <w:tcPr>
            <w:tcW w:type="dxa" w:w="1987"/>
          </w:tcPr>
          <w:p>
            <w:r>
              <w:t>Days 1–3</w:t>
              <w:br/>
              <w:t>Welcome &amp; foundations</w:t>
            </w:r>
          </w:p>
        </w:tc>
        <w:tc>
          <w:tcPr>
            <w:tcW w:type="dxa" w:w="1987"/>
          </w:tcPr>
          <w:p>
            <w:r>
              <w:t>People, policies, customer promise</w:t>
            </w:r>
          </w:p>
        </w:tc>
        <w:tc>
          <w:tcPr>
            <w:tcW w:type="dxa" w:w="1987"/>
          </w:tcPr>
          <w:p>
            <w:r>
              <w:t>Store tour; team introductions; policies, safety, privacy and escalation; POS basics; observe experienced associate.</w:t>
            </w:r>
          </w:p>
        </w:tc>
        <w:tc>
          <w:tcPr>
            <w:tcW w:type="dxa" w:w="1987"/>
          </w:tcPr>
          <w:p>
            <w:r>
              <w:t>Can explain core policies, where to find help and the basic customer journey.</w:t>
            </w:r>
          </w:p>
        </w:tc>
        <w:tc>
          <w:tcPr>
            <w:tcW w:type="dxa" w:w="1987"/>
          </w:tcPr>
          <w:p>
            <w:r>
              <w:t>Day 3: knowledge check and questions</w:t>
            </w:r>
          </w:p>
        </w:tc>
      </w:tr>
      <w:tr>
        <w:tc>
          <w:tcPr>
            <w:tcW w:type="dxa" w:w="1987"/>
          </w:tcPr>
          <w:p>
            <w:r>
              <w:t>Days 4–7</w:t>
              <w:br/>
              <w:t>Product &amp; process</w:t>
            </w:r>
          </w:p>
        </w:tc>
        <w:tc>
          <w:tcPr>
            <w:tcW w:type="dxa" w:w="1987"/>
          </w:tcPr>
          <w:p>
            <w:r>
              <w:t>Core product knowledge and service flow</w:t>
            </w:r>
          </w:p>
        </w:tc>
        <w:tc>
          <w:tcPr>
            <w:tcW w:type="dxa" w:w="1987"/>
          </w:tcPr>
          <w:p>
            <w:r>
              <w:t>Guided product walk-through; needs-discovery practice; role-play; shadow customer interactions; practise routine systems.</w:t>
            </w:r>
          </w:p>
        </w:tc>
        <w:tc>
          <w:tcPr>
            <w:tcW w:type="dxa" w:w="1987"/>
          </w:tcPr>
          <w:p>
            <w:r>
              <w:t>Completes a product comparison exercise and role-play using the service flow.</w:t>
            </w:r>
          </w:p>
        </w:tc>
        <w:tc>
          <w:tcPr>
            <w:tcW w:type="dxa" w:w="1987"/>
          </w:tcPr>
          <w:p>
            <w:r>
              <w:t>Day 7: first-week review</w:t>
            </w:r>
          </w:p>
        </w:tc>
      </w:tr>
      <w:tr>
        <w:tc>
          <w:tcPr>
            <w:tcW w:type="dxa" w:w="1987"/>
          </w:tcPr>
          <w:p>
            <w:r>
              <w:t>Days 8–14</w:t>
              <w:br/>
              <w:t>Supported practice</w:t>
            </w:r>
          </w:p>
        </w:tc>
        <w:tc>
          <w:tcPr>
            <w:tcW w:type="dxa" w:w="1987"/>
          </w:tcPr>
          <w:p>
            <w:r>
              <w:t>Low-risk customer interactions</w:t>
            </w:r>
          </w:p>
        </w:tc>
        <w:tc>
          <w:tcPr>
            <w:tcW w:type="dxa" w:w="1987"/>
          </w:tcPr>
          <w:p>
            <w:r>
              <w:t>Handle selected interactions with coach nearby; practise discovery questions, recommendations, objections and hand-offs.</w:t>
            </w:r>
          </w:p>
        </w:tc>
        <w:tc>
          <w:tcPr>
            <w:tcW w:type="dxa" w:w="1987"/>
          </w:tcPr>
          <w:p>
            <w:r>
              <w:t>Observation checklist shows consistent basics; identifies when to seek support.</w:t>
            </w:r>
          </w:p>
        </w:tc>
        <w:tc>
          <w:tcPr>
            <w:tcW w:type="dxa" w:w="1987"/>
          </w:tcPr>
          <w:p>
            <w:r>
              <w:t>Day 14: observed interaction and coaching plan</w:t>
            </w:r>
          </w:p>
        </w:tc>
      </w:tr>
      <w:tr>
        <w:tc>
          <w:tcPr>
            <w:tcW w:type="dxa" w:w="1987"/>
          </w:tcPr>
          <w:p>
            <w:r>
              <w:t>Days 15–21</w:t>
              <w:br/>
              <w:t>Growing independence</w:t>
            </w:r>
          </w:p>
        </w:tc>
        <w:tc>
          <w:tcPr>
            <w:tcW w:type="dxa" w:w="1987"/>
          </w:tcPr>
          <w:p>
            <w:r>
              <w:t>Consistency and ownership</w:t>
            </w:r>
          </w:p>
        </w:tc>
        <w:tc>
          <w:tcPr>
            <w:tcW w:type="dxa" w:w="1987"/>
          </w:tcPr>
          <w:p>
            <w:r>
              <w:t>Manage a broader range of interactions; complete opening/closing or operational tasks as relevant; review customer feedback and common questions.</w:t>
            </w:r>
          </w:p>
        </w:tc>
        <w:tc>
          <w:tcPr>
            <w:tcW w:type="dxa" w:w="1987"/>
          </w:tcPr>
          <w:p>
            <w:r>
              <w:t>Demonstrates accurate recommendations, follow-through and policy compliance in routine situations.</w:t>
            </w:r>
          </w:p>
        </w:tc>
        <w:tc>
          <w:tcPr>
            <w:tcW w:type="dxa" w:w="1987"/>
          </w:tcPr>
          <w:p>
            <w:r>
              <w:t>Day 21: progress review against role standards</w:t>
            </w:r>
          </w:p>
        </w:tc>
      </w:tr>
      <w:tr>
        <w:tc>
          <w:tcPr>
            <w:tcW w:type="dxa" w:w="1987"/>
          </w:tcPr>
          <w:p>
            <w:r>
              <w:t>Days 22–30</w:t>
              <w:br/>
              <w:t>Consolidate &amp; plan</w:t>
            </w:r>
          </w:p>
        </w:tc>
        <w:tc>
          <w:tcPr>
            <w:tcW w:type="dxa" w:w="1987"/>
          </w:tcPr>
          <w:p>
            <w:r>
              <w:t>Readiness, gaps and next goals</w:t>
            </w:r>
          </w:p>
        </w:tc>
        <w:tc>
          <w:tcPr>
            <w:tcW w:type="dxa" w:w="1987"/>
          </w:tcPr>
          <w:p>
            <w:r>
              <w:t>Repeat role-play; review learning log; discuss performance indicators in context; set next-month goals.</w:t>
            </w:r>
          </w:p>
        </w:tc>
        <w:tc>
          <w:tcPr>
            <w:tcW w:type="dxa" w:w="1987"/>
          </w:tcPr>
          <w:p>
            <w:r>
              <w:t>Completed skills matrix, documented strengths and two development priorities.</w:t>
            </w:r>
          </w:p>
        </w:tc>
        <w:tc>
          <w:tcPr>
            <w:tcW w:type="dxa" w:w="1987"/>
          </w:tcPr>
          <w:p>
            <w:r>
              <w:t>Day 30: formal ramp-up review</w:t>
            </w:r>
          </w:p>
        </w:tc>
      </w:tr>
    </w:tbl>
    <w:p>
      <w:pPr>
        <w:pStyle w:val="Heading1"/>
      </w:pPr>
      <w:r>
        <w:t>Weekly manager rhythm</w:t>
      </w:r>
    </w:p>
    <w:p>
      <w:pPr>
        <w:pStyle w:val="Heading2"/>
      </w:pPr>
      <w:r>
        <w:t>Daily (5–10 minutes)</w:t>
      </w:r>
    </w:p>
    <w:p>
      <w:r>
        <w:t>Ask what the associate learned, what felt difficult, and what support is needed for the next shift.</w:t>
      </w:r>
    </w:p>
    <w:p>
      <w:pPr>
        <w:pStyle w:val="Heading2"/>
      </w:pPr>
      <w:r>
        <w:t>Weekly (20–30 minutes)</w:t>
      </w:r>
    </w:p>
    <w:p>
      <w:r>
        <w:t>Review the skills checklist, recognise one strength, coach one priority behaviour, and agree a practice task.</w:t>
      </w:r>
    </w:p>
    <w:p>
      <w:pPr>
        <w:pStyle w:val="Heading2"/>
      </w:pPr>
      <w:r>
        <w:t>At each observation</w:t>
      </w:r>
    </w:p>
    <w:p>
      <w:r>
        <w:t>Use specific evidence: describe what was said or done, explain its effect, invite self-reflection, and agree one next action.</w:t>
      </w:r>
    </w:p>
    <w:p>
      <w:pPr>
        <w:pStyle w:val="Heading1"/>
      </w:pPr>
      <w:r>
        <w:t>Skills sign-off matrix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Skill</w:t>
            </w:r>
          </w:p>
        </w:tc>
        <w:tc>
          <w:tcPr>
            <w:tcW w:type="dxa" w:w="2484"/>
          </w:tcPr>
          <w:p>
            <w:r>
              <w:t>Observed</w:t>
            </w:r>
          </w:p>
        </w:tc>
        <w:tc>
          <w:tcPr>
            <w:tcW w:type="dxa" w:w="2484"/>
          </w:tcPr>
          <w:p>
            <w:r>
              <w:t>Practised with support</w:t>
            </w:r>
          </w:p>
        </w:tc>
        <w:tc>
          <w:tcPr>
            <w:tcW w:type="dxa" w:w="2484"/>
          </w:tcPr>
          <w:p>
            <w:r>
              <w:t>Consistent independently</w:t>
            </w:r>
          </w:p>
        </w:tc>
      </w:tr>
      <w:tr>
        <w:tc>
          <w:tcPr>
            <w:tcW w:type="dxa" w:w="2484"/>
          </w:tcPr>
          <w:p>
            <w:r>
              <w:t>Customer welcome and rapport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Needs discovery and active listening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Accurate product explanation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Relevant recommendation and trade-offs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Handling questions and hesitation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POS / systems / transaction accuracy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Privacy, safety and policy compliance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Escalation and complaint recovery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  <w:tr>
        <w:tc>
          <w:tcPr>
            <w:tcW w:type="dxa" w:w="2484"/>
          </w:tcPr>
          <w:p>
            <w:r>
              <w:t>Follow-up and team hand-offs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  <w:tc>
          <w:tcPr>
            <w:tcW w:type="dxa" w:w="2484"/>
          </w:tcPr>
          <w:p>
            <w:r>
              <w:t>☐</w:t>
            </w:r>
          </w:p>
        </w:tc>
      </w:tr>
    </w:tbl>
    <w:p>
      <w:pPr>
        <w:pStyle w:val="Heading1"/>
      </w:pPr>
      <w:r>
        <w:t>Suggested scorecard</w:t>
      </w:r>
    </w:p>
    <w:p>
      <w:r>
        <w:t>Use these as coaching indicators, not universal targets. Set thresholds only after reviewing the role, baseline and store context.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Indicator</w:t>
            </w:r>
          </w:p>
        </w:tc>
        <w:tc>
          <w:tcPr>
            <w:tcW w:type="dxa" w:w="3312"/>
          </w:tcPr>
          <w:p>
            <w:r>
              <w:t>How to review</w:t>
            </w:r>
          </w:p>
        </w:tc>
        <w:tc>
          <w:tcPr>
            <w:tcW w:type="dxa" w:w="3312"/>
          </w:tcPr>
          <w:p>
            <w:r>
              <w:t>Caution</w:t>
            </w:r>
          </w:p>
        </w:tc>
      </w:tr>
      <w:tr>
        <w:tc>
          <w:tcPr>
            <w:tcW w:type="dxa" w:w="3312"/>
          </w:tcPr>
          <w:p>
            <w:r>
              <w:t>Knowledge check</w:t>
            </w:r>
          </w:p>
        </w:tc>
        <w:tc>
          <w:tcPr>
            <w:tcW w:type="dxa" w:w="3312"/>
          </w:tcPr>
          <w:p>
            <w:r>
              <w:t>Short quiz on products, policies and escalation</w:t>
            </w:r>
          </w:p>
        </w:tc>
        <w:tc>
          <w:tcPr>
            <w:tcW w:type="dxa" w:w="3312"/>
          </w:tcPr>
          <w:p>
            <w:r>
              <w:t>A quiz does not replace observed practice.</w:t>
            </w:r>
          </w:p>
        </w:tc>
      </w:tr>
      <w:tr>
        <w:tc>
          <w:tcPr>
            <w:tcW w:type="dxa" w:w="3312"/>
          </w:tcPr>
          <w:p>
            <w:r>
              <w:t>Service behaviours</w:t>
            </w:r>
          </w:p>
        </w:tc>
        <w:tc>
          <w:tcPr>
            <w:tcW w:type="dxa" w:w="3312"/>
          </w:tcPr>
          <w:p>
            <w:r>
              <w:t>Manager observation checklist</w:t>
            </w:r>
          </w:p>
        </w:tc>
        <w:tc>
          <w:tcPr>
            <w:tcW w:type="dxa" w:w="3312"/>
          </w:tcPr>
          <w:p>
            <w:r>
              <w:t>Use consistent criteria across associates.</w:t>
            </w:r>
          </w:p>
        </w:tc>
      </w:tr>
      <w:tr>
        <w:tc>
          <w:tcPr>
            <w:tcW w:type="dxa" w:w="3312"/>
          </w:tcPr>
          <w:p>
            <w:r>
              <w:t>Transaction accuracy</w:t>
            </w:r>
          </w:p>
        </w:tc>
        <w:tc>
          <w:tcPr>
            <w:tcW w:type="dxa" w:w="3312"/>
          </w:tcPr>
          <w:p>
            <w:r>
              <w:t>Review errors or rework where tracked</w:t>
            </w:r>
          </w:p>
        </w:tc>
        <w:tc>
          <w:tcPr>
            <w:tcW w:type="dxa" w:w="3312"/>
          </w:tcPr>
          <w:p>
            <w:r>
              <w:t>Account for transaction complexity and system issues.</w:t>
            </w:r>
          </w:p>
        </w:tc>
      </w:tr>
      <w:tr>
        <w:tc>
          <w:tcPr>
            <w:tcW w:type="dxa" w:w="3312"/>
          </w:tcPr>
          <w:p>
            <w:r>
              <w:t>Customer feedback</w:t>
            </w:r>
          </w:p>
        </w:tc>
        <w:tc>
          <w:tcPr>
            <w:tcW w:type="dxa" w:w="3312"/>
          </w:tcPr>
          <w:p>
            <w:r>
              <w:t>Read comments and complaint themes</w:t>
            </w:r>
          </w:p>
        </w:tc>
        <w:tc>
          <w:tcPr>
            <w:tcW w:type="dxa" w:w="3312"/>
          </w:tcPr>
          <w:p>
            <w:r>
              <w:t>Small samples can be noisy; avoid over-interpreting.</w:t>
            </w:r>
          </w:p>
        </w:tc>
      </w:tr>
      <w:tr>
        <w:tc>
          <w:tcPr>
            <w:tcW w:type="dxa" w:w="3312"/>
          </w:tcPr>
          <w:p>
            <w:r>
              <w:t>Commercial indicators</w:t>
            </w:r>
          </w:p>
        </w:tc>
        <w:tc>
          <w:tcPr>
            <w:tcW w:type="dxa" w:w="3312"/>
          </w:tcPr>
          <w:p>
            <w:r>
              <w:t>Conversion, average transaction value or add-on rate if available</w:t>
            </w:r>
          </w:p>
        </w:tc>
        <w:tc>
          <w:tcPr>
            <w:tcW w:type="dxa" w:w="3312"/>
          </w:tcPr>
          <w:p>
            <w:r>
              <w:t>Interpret with traffic, stock, promotions and shift mix.</w:t>
            </w:r>
          </w:p>
        </w:tc>
      </w:tr>
    </w:tbl>
    <w:p>
      <w:pPr>
        <w:pStyle w:val="Heading1"/>
      </w:pPr>
      <w:r>
        <w:t>Day-30 review template</w:t>
      </w:r>
    </w:p>
    <w:p>
      <w:r>
        <w:t>Strengths demonstrated:</w:t>
        <w:br/>
        <w:t>________________________________________________________________________________</w:t>
      </w:r>
    </w:p>
    <w:p>
      <w:r>
        <w:t>Skills meeting role expectations:</w:t>
        <w:br/>
        <w:t>________________________________________________________________________________</w:t>
      </w:r>
    </w:p>
    <w:p>
      <w:r>
        <w:t>Skills requiring more practice:</w:t>
        <w:br/>
        <w:t>________________________________________________________________________________</w:t>
      </w:r>
    </w:p>
    <w:p>
      <w:r>
        <w:t>Support or resources needed:</w:t>
        <w:br/>
        <w:t>________________________________________________________________________________</w:t>
      </w:r>
    </w:p>
    <w:p>
      <w:r>
        <w:t>Two goals for days 31–60:</w:t>
        <w:br/>
        <w:t>________________________________________________________________________________</w:t>
      </w:r>
    </w:p>
    <w:p>
      <w:r>
        <w:t>Associate comments:</w:t>
        <w:br/>
        <w:t>________________________________________________________________________________</w:t>
      </w:r>
    </w:p>
    <w:p/>
    <w:p>
      <w:pPr>
        <w:jc w:val="center"/>
      </w:pPr>
      <w:r>
        <w:t>Prepared by Ryan Perera | Sales Enablement &amp; Customer Experience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D37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4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24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